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F22384" w:rsidRDefault="00F15E5B" w:rsidP="00891366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842977" w:rsidRDefault="008D7CDE" w:rsidP="00891366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აკ.წერეთლის გამზირი N144</w:t>
            </w:r>
          </w:p>
        </w:tc>
      </w:tr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B4824" w:rsidRDefault="008D7CD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8D7CDE" w:rsidRDefault="008D7CD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Default="008D7CDE" w:rsidP="00891366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  <w:p w:rsidR="008D7CDE" w:rsidRPr="005134F6" w:rsidRDefault="008D7CDE" w:rsidP="008D7CDE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ბუღალტრული აღრიცხვა-ანგარიშგების სამმართველო</w:t>
            </w:r>
          </w:p>
        </w:tc>
      </w:tr>
      <w:tr w:rsidR="008D7CD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D7CD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D7CD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96553B" w:rsidRDefault="008D7C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577C7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438DA559" wp14:editId="2C0D281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0FC6DAC3" wp14:editId="5AC3225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D7CD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D7CDE">
              <w:rPr>
                <w:rFonts w:ascii="Sylfaen" w:hAnsi="Sylfaen"/>
                <w:b/>
                <w:lang w:val="ka-GE"/>
              </w:rPr>
              <w:br/>
            </w:r>
            <w:r w:rsidR="008D7CD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C425EF" w:rsidRDefault="008D7CDE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C425EF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CD4D75" w:rsidRDefault="008D7CD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B4824" w:rsidRDefault="008D7CD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B4824" w:rsidRDefault="008D7CD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8D7CD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CDE" w:rsidRPr="006B4824" w:rsidRDefault="008D7CD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C425EF" w:rsidRDefault="008D7CD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C425EF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სამმართველოს</w:t>
            </w:r>
            <w:r w:rsidRPr="00C425EF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C425EF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უფროსი</w:t>
            </w:r>
          </w:p>
        </w:tc>
      </w:tr>
      <w:tr w:rsidR="008D7CD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B4824" w:rsidRDefault="008D7CD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Default="008D7CDE" w:rsidP="008C5578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8D7CDE" w:rsidRDefault="008D7CDE" w:rsidP="008D7CDE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MS Gothic" w:eastAsia="MS Gothic" w:hAnsi="Wingdings"/>
                <w:lang w:val="ka-GE"/>
              </w:rPr>
              <w:t>09:00-18:00</w:t>
            </w:r>
          </w:p>
          <w:p w:rsidR="008D7CDE" w:rsidRPr="008D7CDE" w:rsidRDefault="008D7CDE" w:rsidP="008D7CDE">
            <w:pPr>
              <w:spacing w:line="240" w:lineRule="auto"/>
              <w:rPr>
                <w:rFonts w:ascii="Sylfaen" w:hAnsi="Sylfaen" w:cs="Arial"/>
              </w:rPr>
            </w:pPr>
            <w:r>
              <w:rPr>
                <w:rFonts w:ascii="MS Gothic" w:eastAsia="MS Gothic" w:hAnsi="Wingdings"/>
                <w:lang w:val="ka-GE"/>
              </w:rPr>
              <w:t>13:00-14:00</w:t>
            </w:r>
          </w:p>
        </w:tc>
      </w:tr>
      <w:tr w:rsidR="008D7CDE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CDE" w:rsidRDefault="008D7CD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8D7CDE" w:rsidRDefault="00F15E5B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18</w:t>
            </w:r>
            <w:r w:rsidR="008D7CDE" w:rsidRPr="008D7CDE">
              <w:rPr>
                <w:rFonts w:ascii="Sylfaen" w:hAnsi="Sylfaen"/>
                <w:sz w:val="22"/>
                <w:szCs w:val="22"/>
              </w:rPr>
              <w:t>00</w:t>
            </w:r>
            <w:r w:rsidR="008D7CDE" w:rsidRPr="008D7CDE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8D7CD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B4824" w:rsidRDefault="008D7CD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8D7CD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F22384" w:rsidRDefault="008D7CDE" w:rsidP="00891366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  <w:r w:rsidRPr="00151148">
              <w:rPr>
                <w:rFonts w:ascii="Sylfaen" w:hAnsi="Sylfaen" w:cs="Sylfaen"/>
                <w:lang w:val="ka-GE"/>
              </w:rPr>
              <w:t xml:space="preserve">სამინისტროს  </w:t>
            </w:r>
            <w:r>
              <w:rPr>
                <w:rFonts w:ascii="Sylfaen" w:hAnsi="Sylfaen" w:cs="Sylfaen"/>
                <w:lang w:val="ka-GE"/>
              </w:rPr>
              <w:t>საბუღალტრო აღრიცხვა-ანგარიშგების წარმოების უზრუნველყოფა</w:t>
            </w:r>
          </w:p>
          <w:p w:rsidR="008D7CDE" w:rsidRPr="00F22384" w:rsidRDefault="008D7CDE" w:rsidP="00891366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</w:tc>
      </w:tr>
      <w:tr w:rsidR="008D7C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CDE" w:rsidRPr="00622CF6" w:rsidRDefault="008D7C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622CF6" w:rsidRDefault="008D7CDE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D7C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CDE" w:rsidRPr="0073528A" w:rsidRDefault="008D7CDE" w:rsidP="00891366">
            <w:pPr>
              <w:rPr>
                <w:rFonts w:ascii="Sylfaen" w:hAnsi="Sylfaen"/>
                <w:lang w:val="ka-GE"/>
              </w:rPr>
            </w:pPr>
            <w:r w:rsidRPr="0073528A">
              <w:rPr>
                <w:rFonts w:ascii="Sylfaen" w:hAnsi="Sylfaen"/>
                <w:lang w:val="ka-GE"/>
              </w:rPr>
              <w:t xml:space="preserve">შესყიდვის ხელშეკრულებების </w:t>
            </w:r>
            <w:r w:rsidR="00F15E5B">
              <w:rPr>
                <w:rFonts w:ascii="Sylfaen" w:hAnsi="Sylfaen"/>
                <w:lang w:val="ka-GE"/>
              </w:rPr>
              <w:t>საფუძველზე</w:t>
            </w:r>
            <w:r w:rsidRPr="0073528A">
              <w:rPr>
                <w:rFonts w:ascii="Sylfaen" w:hAnsi="Sylfaen"/>
                <w:lang w:val="ka-GE"/>
              </w:rPr>
              <w:t xml:space="preserve"> სახაზინო სამსახურის ელექტრონული მომსახურების პროგრამაში</w:t>
            </w:r>
            <w:r w:rsidR="00F15E5B">
              <w:rPr>
                <w:rFonts w:ascii="Sylfaen" w:hAnsi="Sylfaen"/>
                <w:lang w:val="ka-GE"/>
              </w:rPr>
              <w:t xml:space="preserve"> ვალდებულებების მომზადება</w:t>
            </w:r>
          </w:p>
          <w:p w:rsidR="008D7CDE" w:rsidRPr="00F22384" w:rsidRDefault="008D7CDE" w:rsidP="00891366">
            <w:pPr>
              <w:rPr>
                <w:rFonts w:ascii="Verdana" w:hAnsi="Verdana"/>
                <w:b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F22384" w:rsidRDefault="008D7CDE" w:rsidP="00891366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D7C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CDE" w:rsidRPr="0073528A" w:rsidRDefault="008D7CDE" w:rsidP="00891366">
            <w:pPr>
              <w:rPr>
                <w:rFonts w:ascii="Sylfaen" w:hAnsi="Sylfaen"/>
                <w:lang w:val="ka-GE"/>
              </w:rPr>
            </w:pPr>
            <w:r w:rsidRPr="0073528A">
              <w:rPr>
                <w:rFonts w:ascii="Sylfaen" w:hAnsi="Sylfaen"/>
                <w:lang w:val="ka-GE"/>
              </w:rPr>
              <w:t xml:space="preserve">წარმოდგენილი მ/ჩ აქტებისა და ინსპექტირების დოკუმენტების </w:t>
            </w:r>
            <w:r w:rsidR="00F15E5B">
              <w:rPr>
                <w:rFonts w:ascii="Sylfaen" w:hAnsi="Sylfaen"/>
                <w:lang w:val="ka-GE"/>
              </w:rPr>
              <w:t xml:space="preserve">და სხვა პირველადი დოკუმენტების  </w:t>
            </w:r>
            <w:r w:rsidRPr="0073528A">
              <w:rPr>
                <w:rFonts w:ascii="Sylfaen" w:hAnsi="Sylfaen"/>
                <w:lang w:val="ka-GE"/>
              </w:rPr>
              <w:t xml:space="preserve">  სახაზინო სამსახურის ელექტრონული მომსახურების პროგრამაში </w:t>
            </w:r>
            <w:r w:rsidR="00F15E5B">
              <w:rPr>
                <w:rFonts w:ascii="Sylfaen" w:hAnsi="Sylfaen"/>
                <w:lang w:val="ka-GE"/>
              </w:rPr>
              <w:t>ატვირთვა  და ინვოისების მომადება</w:t>
            </w:r>
            <w:r w:rsidRPr="0073528A">
              <w:rPr>
                <w:rFonts w:ascii="Sylfaen" w:hAnsi="Sylfaen"/>
                <w:lang w:val="ka-GE"/>
              </w:rPr>
              <w:t xml:space="preserve"> </w:t>
            </w:r>
          </w:p>
          <w:p w:rsidR="008D7CDE" w:rsidRPr="00F22384" w:rsidRDefault="008D7CDE" w:rsidP="00891366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F22384" w:rsidRDefault="008D7CDE" w:rsidP="0089136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D7C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CDE" w:rsidRPr="0073528A" w:rsidRDefault="00F15E5B" w:rsidP="008913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ინვოისების </w:t>
            </w:r>
            <w:r w:rsidR="008D7CDE" w:rsidRPr="0073528A">
              <w:rPr>
                <w:rFonts w:ascii="Sylfaen" w:hAnsi="Sylfaen"/>
                <w:lang w:val="ka-GE"/>
              </w:rPr>
              <w:t>დარეგისტრირების შემდგომ გადასარიცხ თანხებზე საგადა</w:t>
            </w:r>
            <w:r w:rsidR="008D7CDE">
              <w:rPr>
                <w:rFonts w:ascii="Sylfaen" w:hAnsi="Sylfaen"/>
                <w:lang w:val="ka-GE"/>
              </w:rPr>
              <w:t>სა</w:t>
            </w:r>
            <w:r w:rsidR="008D7CDE" w:rsidRPr="0073528A">
              <w:rPr>
                <w:rFonts w:ascii="Sylfaen" w:hAnsi="Sylfaen"/>
                <w:lang w:val="ka-GE"/>
              </w:rPr>
              <w:t>ხ</w:t>
            </w:r>
            <w:r w:rsidR="008D7CDE">
              <w:rPr>
                <w:rFonts w:ascii="Sylfaen" w:hAnsi="Sylfaen"/>
                <w:lang w:val="ka-GE"/>
              </w:rPr>
              <w:t>ა</w:t>
            </w:r>
            <w:r w:rsidR="008D7CDE" w:rsidRPr="0073528A">
              <w:rPr>
                <w:rFonts w:ascii="Sylfaen" w:hAnsi="Sylfaen"/>
                <w:lang w:val="ka-GE"/>
              </w:rPr>
              <w:t xml:space="preserve">დო მოთხოვნების   სახაზინო სამსახურის ელექტრონული მომსახურების პროგრამაში მომზადება  </w:t>
            </w:r>
          </w:p>
          <w:p w:rsidR="008D7CDE" w:rsidRPr="00F22384" w:rsidRDefault="008D7CDE" w:rsidP="00891366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F22384" w:rsidRDefault="008D7CDE" w:rsidP="0089136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D7C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5E5B" w:rsidRPr="0073528A" w:rsidRDefault="00F15E5B" w:rsidP="00F15E5B">
            <w:pPr>
              <w:rPr>
                <w:rFonts w:ascii="Sylfaen" w:hAnsi="Sylfaen"/>
                <w:lang w:val="ka-GE"/>
              </w:rPr>
            </w:pPr>
            <w:r w:rsidRPr="0073528A">
              <w:rPr>
                <w:rFonts w:ascii="Sylfaen" w:hAnsi="Sylfaen"/>
                <w:lang w:val="ka-GE"/>
              </w:rPr>
              <w:t>ქვეყნის ფარგლებს გარეთ უცხ</w:t>
            </w:r>
            <w:r>
              <w:rPr>
                <w:rFonts w:ascii="Sylfaen" w:hAnsi="Sylfaen"/>
                <w:lang w:val="ka-GE"/>
              </w:rPr>
              <w:t>ო</w:t>
            </w:r>
            <w:r w:rsidRPr="0073528A">
              <w:rPr>
                <w:rFonts w:ascii="Sylfaen" w:hAnsi="Sylfaen"/>
                <w:lang w:val="ka-GE"/>
              </w:rPr>
              <w:t>ური ვალუტის გადარიცხვის შემთხვევაში სავალუტო მოთხოვნის მომზადება</w:t>
            </w:r>
          </w:p>
          <w:p w:rsidR="008D7CDE" w:rsidRPr="0073528A" w:rsidRDefault="008D7CDE" w:rsidP="0089136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F22384" w:rsidRDefault="008D7CDE" w:rsidP="00891366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F15E5B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D7C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CDE" w:rsidRPr="00F22384" w:rsidRDefault="00F15E5B" w:rsidP="00F15E5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სამინისტროს თანამშრომელთა შრომის ანაზღაურების (თანამდებობრივი სარგო, პრემია, დანამატი),  საავადმყოფო ფურცლის უწყისების  </w:t>
            </w:r>
            <w:r>
              <w:rPr>
                <w:rFonts w:ascii="Sylfaen" w:hAnsi="Sylfaen" w:cs="Sylfaen"/>
                <w:lang w:val="ka-GE"/>
              </w:rPr>
              <w:t xml:space="preserve">სახაზინო სამსახურის  ელექტრონული მომსახურების სისტემაში  </w:t>
            </w:r>
            <w:r>
              <w:rPr>
                <w:rFonts w:ascii="Sylfaen" w:hAnsi="Sylfaen"/>
                <w:lang w:val="ka-GE"/>
              </w:rPr>
              <w:t>დამატება-რედაქტირება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F22384" w:rsidRDefault="008D7CDE" w:rsidP="0089136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D7C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CDE" w:rsidRPr="00F71A01" w:rsidRDefault="00F15E5B" w:rsidP="00891366">
            <w:pPr>
              <w:rPr>
                <w:rFonts w:ascii="Sylfaen" w:hAnsi="Sylfaen"/>
                <w:lang w:val="ka-GE"/>
              </w:rPr>
            </w:pPr>
            <w:r w:rsidRPr="008D7CDE">
              <w:rPr>
                <w:rFonts w:ascii="Sylfaen" w:hAnsi="Sylfaen"/>
                <w:lang w:val="ka-GE"/>
              </w:rPr>
              <w:t xml:space="preserve">მივლინების ბრძანებების </w:t>
            </w:r>
            <w:r w:rsidRPr="008D7CDE">
              <w:rPr>
                <w:rFonts w:ascii="Sylfaen" w:hAnsi="Sylfaen" w:cs="Sylfaen"/>
                <w:lang w:val="ka-GE"/>
              </w:rPr>
              <w:t>სახაზინო სამსახურის  ელექტრონული მომსახურების სისტემაში  გატარება და შესაბამისი საგადახდო მოთხოვნების შედგენა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CDE" w:rsidRPr="00F22384" w:rsidRDefault="008D7CDE" w:rsidP="0089136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15E5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5E5B" w:rsidRPr="008D7CDE" w:rsidRDefault="00F15E5B" w:rsidP="00F15E5B">
            <w:pPr>
              <w:rPr>
                <w:rFonts w:ascii="Sylfaen" w:hAnsi="Sylfaen"/>
                <w:lang w:val="ka-GE"/>
              </w:rPr>
            </w:pPr>
            <w:r w:rsidRPr="008D7CDE">
              <w:rPr>
                <w:rFonts w:ascii="Sylfaen" w:hAnsi="Sylfaen"/>
                <w:lang w:val="ka-GE"/>
              </w:rPr>
              <w:t>წინასწარ გადარიცხული თანხებზე შესრულების წარმოდგენის შემდეგ  დამოწმების დოკუმენტის შედგენა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5E5B" w:rsidRPr="00F22384" w:rsidRDefault="00F15E5B" w:rsidP="00F15E5B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15E5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5E5B" w:rsidRPr="008D7CDE" w:rsidRDefault="00F15E5B" w:rsidP="00F15E5B">
            <w:pPr>
              <w:rPr>
                <w:rFonts w:ascii="Sylfaen" w:hAnsi="Sylfaen"/>
                <w:lang w:val="ka-GE"/>
              </w:rPr>
            </w:pPr>
            <w:r w:rsidRPr="008D7CDE">
              <w:rPr>
                <w:rFonts w:ascii="Sylfaen" w:hAnsi="Sylfaen" w:cs="Sylfaen"/>
                <w:lang w:val="ka-GE"/>
              </w:rPr>
              <w:lastRenderedPageBreak/>
              <w:t>სამმართველოში შემოსული კორესპონდენციების განხილვა და   პასუხების პროექტების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5E5B" w:rsidRPr="00F22384" w:rsidRDefault="00F15E5B" w:rsidP="00F15E5B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15E5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5E5B" w:rsidRPr="008D7CDE" w:rsidRDefault="00F15E5B" w:rsidP="00F15E5B">
            <w:pPr>
              <w:rPr>
                <w:rFonts w:ascii="Verdana" w:hAnsi="Verdana"/>
              </w:rPr>
            </w:pPr>
            <w:r w:rsidRPr="008D7CDE">
              <w:rPr>
                <w:rFonts w:ascii="Sylfaen" w:hAnsi="Sylfaen"/>
                <w:lang w:val="ka-GE"/>
              </w:rPr>
              <w:t>დეპოზიტის ანგარიშზე თანხების აღრიცხვა და  დანიშნულებისამებრ გადატანა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5E5B" w:rsidRPr="00F22384" w:rsidRDefault="00F15E5B" w:rsidP="00F15E5B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15E5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5E5B" w:rsidRPr="008D7CDE" w:rsidRDefault="00F15E5B" w:rsidP="00F15E5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15E5B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მინისტრის ბრძანებით შექმნილ  კომისიებში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5E5B" w:rsidRPr="00F22384" w:rsidRDefault="00F15E5B" w:rsidP="00F15E5B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D7830">
              <w:rPr>
                <w:rFonts w:ascii="MS Gothic" w:eastAsia="MS Gothic" w:hAnsi="Wingdings" w:hint="eastAsia"/>
              </w:rPr>
            </w:r>
            <w:r w:rsidR="005D783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257926" w:rsidRPr="004354E0" w:rsidTr="00324B18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7926" w:rsidRPr="008D7CDE" w:rsidRDefault="00257926" w:rsidP="00F15E5B">
            <w:pPr>
              <w:rPr>
                <w:rFonts w:ascii="Verdana" w:hAnsi="Verdana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lang w:val="ka-GE"/>
              </w:rPr>
              <w:t xml:space="preserve"> (შიდა და გარე)</w:t>
            </w:r>
          </w:p>
        </w:tc>
        <w:tc>
          <w:tcPr>
            <w:tcW w:w="2483" w:type="dxa"/>
            <w:gridSpan w:val="2"/>
          </w:tcPr>
          <w:p w:rsidR="00257926" w:rsidRPr="00F22384" w:rsidRDefault="00257926" w:rsidP="00F15E5B">
            <w:pPr>
              <w:rPr>
                <w:rFonts w:ascii="MS Gothic" w:eastAsia="MS Gothic" w:hAnsi="Wingdings" w:hint="eastAsia"/>
              </w:rPr>
            </w:pPr>
          </w:p>
        </w:tc>
      </w:tr>
      <w:tr w:rsidR="00257926" w:rsidRPr="004354E0" w:rsidTr="00324B18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7926" w:rsidRDefault="00257926" w:rsidP="00F15E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Sylfaen" w:hAnsi="Sylfaen"/>
                <w:lang w:val="ka-GE"/>
              </w:rPr>
            </w:pPr>
            <w:r w:rsidRPr="0073528A">
              <w:rPr>
                <w:rFonts w:ascii="Sylfaen" w:hAnsi="Sylfaen"/>
                <w:lang w:val="ka-GE"/>
              </w:rPr>
              <w:t>საქართველოს ფინანსთა სამინისტროს სახაზინო სამსახური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257926" w:rsidRPr="00605283" w:rsidRDefault="00257926" w:rsidP="00F15E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Times New Roman Bold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      </w:r>
            <w:r w:rsidRPr="00605283">
              <w:rPr>
                <w:rFonts w:ascii="Sylfaen" w:hAnsi="Sylfaen"/>
                <w:lang w:val="ka-GE"/>
              </w:rPr>
              <w:t>ყველა  სტრუქტურული ქვედანაყოფი და კონტროლს დაქვემდებარებული საჯარო სამართლის იურიდიული პირები</w:t>
            </w:r>
          </w:p>
          <w:p w:rsidR="00257926" w:rsidRPr="00F22384" w:rsidRDefault="00257926" w:rsidP="00F15E5B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</w:p>
          <w:p w:rsidR="00257926" w:rsidRDefault="00257926" w:rsidP="00F15E5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</w:tcPr>
          <w:p w:rsidR="00257926" w:rsidRDefault="00257926" w:rsidP="00F15E5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57926" w:rsidRPr="004354E0" w:rsidTr="00324B18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7926" w:rsidRDefault="00257926" w:rsidP="00F15E5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</w:tcPr>
          <w:p w:rsidR="00257926" w:rsidRDefault="00257926" w:rsidP="00F15E5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57926" w:rsidRPr="004354E0" w:rsidTr="00324B18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7926" w:rsidRPr="003F4D7A" w:rsidRDefault="00257926" w:rsidP="00F15E5B">
            <w:pPr>
              <w:pStyle w:val="BodyA"/>
              <w:spacing w:line="360" w:lineRule="auto"/>
              <w:ind w:left="720"/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</w:pPr>
            <w:r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 xml:space="preserve">ყოველთვიური, </w:t>
            </w:r>
            <w:r w:rsidRPr="003F4D7A"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>ყოველკვარტალური, წლიური, ხელმძღვანელობის მოთხოვნის შესაბამისად</w:t>
            </w:r>
          </w:p>
          <w:p w:rsidR="00257926" w:rsidRPr="00F22384" w:rsidRDefault="00257926" w:rsidP="00F15E5B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</w:p>
          <w:p w:rsidR="00257926" w:rsidRDefault="00257926" w:rsidP="00F15E5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257926" w:rsidRDefault="00257926" w:rsidP="00F15E5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</w:tcPr>
          <w:p w:rsidR="00257926" w:rsidRDefault="00257926" w:rsidP="00F15E5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C425EF" w:rsidRPr="00F22384" w:rsidRDefault="00C425EF" w:rsidP="00C425EF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D7830">
              <w:rPr>
                <w:rFonts w:eastAsia="MS Gothic"/>
                <w:sz w:val="24"/>
                <w:szCs w:val="24"/>
              </w:rPr>
            </w:r>
            <w:r w:rsidR="005D783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C425EF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C425EF" w:rsidRPr="00F22384" w:rsidRDefault="00C425EF" w:rsidP="00C425EF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უმაღლესი ეკონომიკური განათლება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425EF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425EF" w:rsidRPr="000E785F" w:rsidRDefault="00C425EF" w:rsidP="00C425EF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0E785F">
              <w:rPr>
                <w:rFonts w:ascii="Sylfaen" w:hAnsi="Sylfaen" w:cs="Sylfaen"/>
                <w:lang w:val="ka-GE"/>
              </w:rPr>
              <w:t>საქართველოს საგადასახადო კოდექსი</w:t>
            </w:r>
          </w:p>
          <w:p w:rsidR="00F15E5B" w:rsidRDefault="00F15E5B" w:rsidP="00F15E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D6EE8">
              <w:rPr>
                <w:rFonts w:ascii="Sylfaen" w:hAnsi="Sylfaen" w:cs="Sylfaen"/>
                <w:lang w:val="ka-GE"/>
              </w:rPr>
              <w:t>„საბიუჯეტო ორგანიზაციების ბუღალტრული აღრიცხვის და ფინანსური ანგარიშგების შესახებ“ ინსტრუქციის დამტკიცების თაობაზე</w:t>
            </w:r>
            <w:r>
              <w:rPr>
                <w:rFonts w:ascii="Sylfaen" w:hAnsi="Sylfaen" w:cs="Sylfaen"/>
                <w:lang w:val="ka-GE"/>
              </w:rPr>
              <w:t xml:space="preserve"> საქართველოს ფინანსთა მინისტრის 20014 წლის 31 დეკემბრის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429 ბრძანება</w:t>
            </w:r>
          </w:p>
          <w:p w:rsidR="00F15E5B" w:rsidRDefault="00F15E5B" w:rsidP="00F15E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  <w:p w:rsidR="00F15E5B" w:rsidRDefault="00F15E5B" w:rsidP="00F15E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D6EE8">
              <w:rPr>
                <w:rFonts w:ascii="Sylfaen" w:hAnsi="Sylfaen" w:cs="Sylfaen"/>
                <w:lang w:val="ka-GE"/>
              </w:rPr>
              <w:t>პროფესიული საჯარო მოხელის სამსახურებრივი მივლინებით გაგზავნის წესის,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</w:t>
            </w:r>
            <w:r>
              <w:rPr>
                <w:rFonts w:ascii="Sylfaen" w:hAnsi="Sylfaen" w:cs="Sylfaen"/>
                <w:lang w:val="ka-GE"/>
              </w:rPr>
              <w:t xml:space="preserve">  საქართველოს მთავრობის 2017 წლის 25 აპრილის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211 დადგენილება</w:t>
            </w:r>
          </w:p>
          <w:p w:rsidR="00F15E5B" w:rsidRDefault="00F15E5B" w:rsidP="00F15E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  <w:p w:rsidR="008429F0" w:rsidRPr="000E785F" w:rsidRDefault="008429F0" w:rsidP="00F15E5B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 w:rsidRPr="000E785F">
              <w:rPr>
                <w:rFonts w:ascii="Sylfaen" w:hAnsi="Sylfaen" w:cs="Sylfaen"/>
                <w:lang w:val="ka-GE"/>
              </w:rPr>
              <w:t>,,სახელმწიფო ხაზინის ელექტრონული მომსახურების სისტემის შესახებ“ ინსტრუქციის დამტკიცების თაობაზე“ საქართველოს ფინანსთა მინისტრის 2012 წლის 6 ივლისის №225 ბრძანება</w:t>
            </w:r>
          </w:p>
          <w:p w:rsidR="00702515" w:rsidRPr="000E785F" w:rsidRDefault="00702515" w:rsidP="00C425EF">
            <w:pPr>
              <w:spacing w:before="120"/>
              <w:rPr>
                <w:rFonts w:ascii="Sylfaen" w:hAnsi="Sylfaen"/>
                <w:lang w:val="ka-GE"/>
              </w:rPr>
            </w:pPr>
            <w:r w:rsidRPr="000E785F">
              <w:rPr>
                <w:rFonts w:ascii="Sylfaen" w:hAnsi="Sylfaen"/>
                <w:lang w:val="ka-GE"/>
              </w:rPr>
              <w:t xml:space="preserve">,,საქართველოს საბიუჯეტო კლასიფიკაციის დამტკიცების თაობაზე“ საქართველოს ფინანსთა მინისტრის 2010 წლის 25 აგვისტოს </w:t>
            </w:r>
            <w:r w:rsidRPr="000E785F">
              <w:rPr>
                <w:rFonts w:ascii="Sylfaen" w:hAnsi="Sylfaen" w:cs="Sylfaen"/>
                <w:lang w:val="ka-GE"/>
              </w:rPr>
              <w:t>№</w:t>
            </w:r>
            <w:r w:rsidRPr="000E785F">
              <w:rPr>
                <w:rFonts w:ascii="Sylfaen" w:hAnsi="Sylfaen"/>
                <w:lang w:val="ka-GE"/>
              </w:rPr>
              <w:t>672 ბრძანება</w:t>
            </w:r>
          </w:p>
          <w:p w:rsidR="00645E8C" w:rsidRPr="000E785F" w:rsidRDefault="00645E8C" w:rsidP="00C425EF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0E785F">
              <w:rPr>
                <w:rFonts w:ascii="Sylfaen" w:hAnsi="Sylfaen"/>
                <w:lang w:val="ka-GE"/>
              </w:rPr>
              <w:t xml:space="preserve">,,ბიუჯეტების დაფინანსებაზე მყოფი ორგანიზაციების ბუღალტრული </w:t>
            </w:r>
            <w:r w:rsidRPr="000E785F">
              <w:rPr>
                <w:rFonts w:ascii="Sylfaen" w:hAnsi="Sylfaen"/>
                <w:lang w:val="ka-GE"/>
              </w:rPr>
              <w:lastRenderedPageBreak/>
              <w:t xml:space="preserve">ანგარიშგების ფორმების დამტკიცების შესახებ“ საქართველოს ფინანსთა მინისტრის 2008 წლის 16 აპრილის </w:t>
            </w:r>
            <w:r w:rsidRPr="000E785F">
              <w:rPr>
                <w:rFonts w:ascii="Sylfaen" w:hAnsi="Sylfaen" w:cs="Sylfaen"/>
                <w:lang w:val="ka-GE"/>
              </w:rPr>
              <w:t>№364 ბრძანება</w:t>
            </w:r>
          </w:p>
          <w:p w:rsidR="000E4C94" w:rsidRPr="000E785F" w:rsidRDefault="000E4C94" w:rsidP="00C425EF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425EF" w:rsidRPr="00962D44" w:rsidRDefault="00C425EF" w:rsidP="00C425E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425EF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425EF" w:rsidRDefault="00C425EF" w:rsidP="00C425EF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425EF" w:rsidRPr="00962D44" w:rsidRDefault="00C425EF" w:rsidP="00C425EF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09376F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1F5E67" w:rsidRDefault="0009376F" w:rsidP="0009376F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1F5E67">
              <w:rPr>
                <w:rFonts w:ascii="Sylfaen" w:hAnsi="Sylfaen" w:cs="Sylfaen"/>
                <w:lang w:val="ka-GE"/>
              </w:rPr>
              <w:t>საბუღალტრო პროგრამები</w:t>
            </w:r>
            <w:r w:rsidRPr="001F5E67">
              <w:rPr>
                <w:rFonts w:ascii="Sylfaen" w:eastAsia="MS Gothic" w:hAnsi="Sylfaen"/>
                <w:lang w:val="ka-GE"/>
              </w:rPr>
              <w:t xml:space="preserve"> </w:t>
            </w:r>
            <w:r w:rsidRPr="001F5E67">
              <w:rPr>
                <w:rFonts w:ascii="Sylfaen" w:hAnsi="Sylfaen" w:cs="Sylfaen"/>
                <w:lang w:val="ka-GE"/>
              </w:rPr>
              <w:t xml:space="preserve"> ORIS</w:t>
            </w:r>
          </w:p>
          <w:p w:rsidR="001F5E67" w:rsidRPr="001F5E67" w:rsidRDefault="001F5E67" w:rsidP="0009376F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1F5E67">
              <w:rPr>
                <w:rFonts w:ascii="Sylfaen" w:eastAsia="MS Gothic" w:hAnsi="Sylfaen"/>
                <w:lang w:val="ka-GE"/>
              </w:rPr>
              <w:t>შემოსავლების სამსახურის მომსახურების ელექტრონული სისტემა</w:t>
            </w:r>
          </w:p>
          <w:p w:rsidR="001F5E67" w:rsidRPr="001F5E67" w:rsidRDefault="001F5E67" w:rsidP="001F5E67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1F5E67">
              <w:rPr>
                <w:rFonts w:ascii="Sylfaen" w:hAnsi="Sylfaen" w:cs="Sylfaen"/>
                <w:lang w:val="ka-GE"/>
              </w:rPr>
              <w:t>სახელმწიფო ხაზინის ელექტრონული მომსახურების პროგრამა (E-Treasury)</w:t>
            </w:r>
          </w:p>
          <w:p w:rsidR="0009376F" w:rsidRPr="00F22384" w:rsidRDefault="0009376F" w:rsidP="0009376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9376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09376F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B0E" w:rsidRPr="00F22384" w:rsidRDefault="00893B0E" w:rsidP="00893B0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D7830">
              <w:rPr>
                <w:rFonts w:eastAsia="MS Gothic"/>
                <w:sz w:val="24"/>
                <w:szCs w:val="24"/>
              </w:rPr>
            </w:r>
            <w:r w:rsidR="005D783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893B0E" w:rsidRPr="00F22384" w:rsidRDefault="00893B0E" w:rsidP="00893B0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D7830">
              <w:rPr>
                <w:rFonts w:eastAsia="MS Gothic"/>
                <w:sz w:val="24"/>
                <w:szCs w:val="24"/>
              </w:rPr>
            </w:r>
            <w:r w:rsidR="005D783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893B0E" w:rsidRPr="00F22384" w:rsidRDefault="00893B0E" w:rsidP="00893B0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D7830">
              <w:rPr>
                <w:rFonts w:eastAsia="MS Gothic"/>
                <w:sz w:val="24"/>
                <w:szCs w:val="24"/>
              </w:rPr>
            </w:r>
            <w:r w:rsidR="005D783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893B0E" w:rsidRPr="00F22384" w:rsidRDefault="00893B0E" w:rsidP="00893B0E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D7830">
              <w:rPr>
                <w:rFonts w:eastAsia="MS Gothic"/>
                <w:sz w:val="24"/>
                <w:szCs w:val="24"/>
              </w:rPr>
            </w:r>
            <w:r w:rsidR="005D783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09376F" w:rsidRPr="00962D44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09376F" w:rsidRPr="00962D44" w:rsidRDefault="0009376F" w:rsidP="000937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09376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09376F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09376F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B0E" w:rsidRPr="00893B0E" w:rsidRDefault="00893B0E" w:rsidP="00893B0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3B0E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893B0E">
              <w:rPr>
                <w:rFonts w:ascii="Sylfaen" w:hAnsi="Sylfaen"/>
                <w:sz w:val="24"/>
                <w:szCs w:val="24"/>
              </w:rPr>
              <w:t xml:space="preserve"> A2</w:t>
            </w:r>
          </w:p>
          <w:p w:rsidR="0009376F" w:rsidRPr="00893B0E" w:rsidRDefault="00893B0E" w:rsidP="00893B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93B0E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893B0E">
              <w:rPr>
                <w:rFonts w:ascii="Sylfaen" w:hAnsi="Sylfaen"/>
                <w:sz w:val="24"/>
                <w:szCs w:val="24"/>
              </w:rPr>
              <w:t xml:space="preserve">  A2</w:t>
            </w:r>
          </w:p>
        </w:tc>
      </w:tr>
      <w:tr w:rsidR="0009376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09376F" w:rsidRDefault="0009376F" w:rsidP="000937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09376F" w:rsidRDefault="0009376F" w:rsidP="0009376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09376F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376F" w:rsidRPr="006B4824" w:rsidRDefault="0009376F" w:rsidP="000937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9376F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376F" w:rsidRPr="00E035B4" w:rsidRDefault="0009376F" w:rsidP="0009376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376F" w:rsidRPr="00E035B4" w:rsidRDefault="0009376F" w:rsidP="0009376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09376F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E035B4" w:rsidRDefault="0009376F" w:rsidP="000937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09376F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47460" w:rsidRPr="00F22384" w:rsidRDefault="00947460" w:rsidP="00947460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D7830">
              <w:rPr>
                <w:rFonts w:eastAsia="MS Gothic"/>
                <w:sz w:val="24"/>
                <w:szCs w:val="24"/>
              </w:rPr>
            </w:r>
            <w:r w:rsidR="005D783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09376F" w:rsidRPr="00962D44" w:rsidRDefault="0009376F" w:rsidP="0009376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09376F" w:rsidRPr="00962D44" w:rsidRDefault="0009376F" w:rsidP="0009376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9376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E035B4" w:rsidRDefault="0009376F" w:rsidP="000937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E035B4" w:rsidRDefault="0009376F" w:rsidP="0009376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09376F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09376F" w:rsidRPr="00962D44" w:rsidRDefault="0009376F" w:rsidP="0009376F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9376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E035B4" w:rsidRDefault="0009376F" w:rsidP="0009376F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9376F" w:rsidRPr="00E035B4" w:rsidRDefault="0009376F" w:rsidP="0009376F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09376F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376F" w:rsidRDefault="0009376F" w:rsidP="0009376F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09376F" w:rsidRPr="00962D44" w:rsidRDefault="0009376F" w:rsidP="0009376F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376F" w:rsidRPr="00962D44" w:rsidRDefault="0009376F" w:rsidP="000937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9376F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376F" w:rsidRPr="00F330D3" w:rsidRDefault="0009376F" w:rsidP="0009376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9376F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7460" w:rsidRPr="00706C5D" w:rsidRDefault="00947460" w:rsidP="0094746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ესმის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06C5D">
              <w:rPr>
                <w:rFonts w:ascii="Sylfaen" w:hAnsi="Sylfaen"/>
                <w:sz w:val="24"/>
                <w:szCs w:val="24"/>
                <w:lang w:val="ka-GE"/>
              </w:rPr>
              <w:t>ორგანიზაციის მისია, საჯარო სამსახურის ეთიკა და საზოგადოებრივი სარგებელი</w:t>
            </w:r>
          </w:p>
          <w:p w:rsidR="00947460" w:rsidRPr="005F0FF8" w:rsidRDefault="00947460" w:rsidP="0094746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sz w:val="24"/>
                <w:szCs w:val="24"/>
                <w:lang w:val="ka-GE"/>
              </w:rPr>
              <w:t>აქტიური მოსმენის უნარს</w:t>
            </w:r>
          </w:p>
          <w:p w:rsidR="00947460" w:rsidRPr="00B175E7" w:rsidRDefault="00947460" w:rsidP="0094746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947460" w:rsidRPr="00BC4CB3" w:rsidRDefault="00947460" w:rsidP="0094746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ანალიტიკური ანგარიშის მომზადების უნარებს</w:t>
            </w:r>
          </w:p>
          <w:p w:rsidR="00947460" w:rsidRDefault="00947460" w:rsidP="0094746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947460" w:rsidRPr="007C06B9" w:rsidRDefault="00947460" w:rsidP="0094746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C06B9">
              <w:rPr>
                <w:rFonts w:ascii="Sylfaen" w:hAnsi="Sylfaen"/>
                <w:sz w:val="24"/>
                <w:szCs w:val="24"/>
                <w:lang w:val="ka-GE"/>
              </w:rPr>
              <w:t>ავლენს ფინანსური ანალიზისა და ფინანსების მართვის  უნარს</w:t>
            </w:r>
          </w:p>
          <w:p w:rsidR="00947460" w:rsidRPr="00B13E94" w:rsidRDefault="00947460" w:rsidP="0094746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947460" w:rsidRPr="00B13E94" w:rsidRDefault="00947460" w:rsidP="0094746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947460" w:rsidRPr="00BC4CB3" w:rsidRDefault="00947460" w:rsidP="0094746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947460" w:rsidRPr="00B13E94" w:rsidRDefault="00947460" w:rsidP="0094746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09376F" w:rsidRPr="006B4824" w:rsidRDefault="0009376F" w:rsidP="0009376F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D7830" w:rsidRDefault="005D7830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D7830" w:rsidRDefault="005D7830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D7830" w:rsidRDefault="005D7830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  <w:bookmarkStart w:id="1" w:name="_GoBack"/>
      <w:bookmarkEnd w:id="1"/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A70ED6" w:rsidRPr="00A70ED6" w:rsidRDefault="00A70ED6" w:rsidP="00FE1C08">
      <w:pPr>
        <w:spacing w:before="240" w:after="0"/>
        <w:rPr>
          <w:rFonts w:ascii="Sylfaen" w:hAnsi="Sylfaen"/>
        </w:rPr>
      </w:pPr>
    </w:p>
    <w:p w:rsidR="00A70ED6" w:rsidRDefault="00A70ED6" w:rsidP="00A70ED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lastRenderedPageBreak/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თეა მერაბიშვილი</w:t>
      </w:r>
    </w:p>
    <w:p w:rsidR="00A70ED6" w:rsidRDefault="00A70ED6" w:rsidP="00A70ED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A70ED6" w:rsidRPr="00097BB8" w:rsidRDefault="00A70ED6" w:rsidP="00A70ED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A70ED6" w:rsidRDefault="00A70ED6" w:rsidP="00A70ED6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A70ED6" w:rsidRPr="00A70ED6" w:rsidRDefault="00A70ED6" w:rsidP="00FE1C08">
      <w:pPr>
        <w:spacing w:before="240" w:after="0"/>
      </w:pPr>
    </w:p>
    <w:sectPr w:rsidR="00A70ED6" w:rsidRPr="00A70ED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9376F"/>
    <w:rsid w:val="000E4C94"/>
    <w:rsid w:val="000E785F"/>
    <w:rsid w:val="000F7F4D"/>
    <w:rsid w:val="00127851"/>
    <w:rsid w:val="00140295"/>
    <w:rsid w:val="0014563E"/>
    <w:rsid w:val="001F5E67"/>
    <w:rsid w:val="002041EC"/>
    <w:rsid w:val="00257926"/>
    <w:rsid w:val="003050A0"/>
    <w:rsid w:val="00332E5E"/>
    <w:rsid w:val="00340A2C"/>
    <w:rsid w:val="00341D75"/>
    <w:rsid w:val="00362A54"/>
    <w:rsid w:val="003A5F01"/>
    <w:rsid w:val="003B257E"/>
    <w:rsid w:val="003C05E0"/>
    <w:rsid w:val="004666A2"/>
    <w:rsid w:val="00577C7E"/>
    <w:rsid w:val="005D35CF"/>
    <w:rsid w:val="005D776B"/>
    <w:rsid w:val="005D7830"/>
    <w:rsid w:val="00645E8C"/>
    <w:rsid w:val="006C54B7"/>
    <w:rsid w:val="00702515"/>
    <w:rsid w:val="007275E6"/>
    <w:rsid w:val="0074698E"/>
    <w:rsid w:val="00765DB6"/>
    <w:rsid w:val="00776486"/>
    <w:rsid w:val="00790C3C"/>
    <w:rsid w:val="008429F0"/>
    <w:rsid w:val="00893B0E"/>
    <w:rsid w:val="008D2B69"/>
    <w:rsid w:val="008D7CDE"/>
    <w:rsid w:val="009110BB"/>
    <w:rsid w:val="00947460"/>
    <w:rsid w:val="00962D44"/>
    <w:rsid w:val="009722EE"/>
    <w:rsid w:val="009856E3"/>
    <w:rsid w:val="009E42F5"/>
    <w:rsid w:val="00A246A4"/>
    <w:rsid w:val="00A37FA0"/>
    <w:rsid w:val="00A70ED6"/>
    <w:rsid w:val="00B313DF"/>
    <w:rsid w:val="00C425EF"/>
    <w:rsid w:val="00D32C60"/>
    <w:rsid w:val="00DB3C17"/>
    <w:rsid w:val="00E035B4"/>
    <w:rsid w:val="00E05CF9"/>
    <w:rsid w:val="00E73C5C"/>
    <w:rsid w:val="00E8550E"/>
    <w:rsid w:val="00EA3706"/>
    <w:rsid w:val="00F15E5B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B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32C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893B0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B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32C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893B0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6</cp:revision>
  <dcterms:created xsi:type="dcterms:W3CDTF">2019-06-29T11:14:00Z</dcterms:created>
  <dcterms:modified xsi:type="dcterms:W3CDTF">2019-07-01T10:12:00Z</dcterms:modified>
</cp:coreProperties>
</file>